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B0" w:rsidRPr="004B4BB0" w:rsidRDefault="004B4BB0" w:rsidP="004B4BB0">
      <w:pPr>
        <w:pBdr>
          <w:bottom w:val="single" w:sz="6" w:space="4" w:color="E0EAEF"/>
        </w:pBdr>
        <w:spacing w:after="105" w:line="360" w:lineRule="atLeast"/>
        <w:outlineLvl w:val="0"/>
        <w:rPr>
          <w:rFonts w:ascii="Arial" w:eastAsia="Times New Roman" w:hAnsi="Arial" w:cs="Arial"/>
          <w:color w:val="363636"/>
          <w:kern w:val="36"/>
          <w:sz w:val="33"/>
          <w:szCs w:val="33"/>
        </w:rPr>
      </w:pPr>
      <w:bookmarkStart w:id="0" w:name="_GoBack"/>
      <w:r>
        <w:rPr>
          <w:rFonts w:ascii="Arial" w:hAnsi="Arial" w:cs="Arial"/>
          <w:color w:val="363636"/>
          <w:sz w:val="33"/>
          <w:szCs w:val="33"/>
        </w:rPr>
        <w:t>БДС EN 17150:2019</w:t>
      </w:r>
      <w:r>
        <w:rPr>
          <w:rFonts w:ascii="Arial" w:hAnsi="Arial" w:cs="Arial"/>
          <w:color w:val="363636"/>
          <w:sz w:val="33"/>
          <w:szCs w:val="33"/>
        </w:rPr>
        <w:t xml:space="preserve">, </w:t>
      </w:r>
      <w:r>
        <w:rPr>
          <w:rFonts w:ascii="Arial" w:hAnsi="Arial" w:cs="Arial"/>
          <w:color w:val="363636"/>
          <w:sz w:val="33"/>
          <w:szCs w:val="33"/>
        </w:rPr>
        <w:t>БДС EN 17151:2019</w:t>
      </w:r>
      <w:r>
        <w:rPr>
          <w:rFonts w:ascii="Arial" w:hAnsi="Arial" w:cs="Arial"/>
          <w:color w:val="363636"/>
          <w:sz w:val="33"/>
          <w:szCs w:val="33"/>
        </w:rPr>
        <w:t xml:space="preserve">, </w:t>
      </w:r>
      <w:r w:rsidRPr="004B4BB0">
        <w:rPr>
          <w:rFonts w:ascii="Arial" w:eastAsia="Times New Roman" w:hAnsi="Arial" w:cs="Arial"/>
          <w:color w:val="363636"/>
          <w:kern w:val="36"/>
          <w:sz w:val="33"/>
          <w:szCs w:val="33"/>
        </w:rPr>
        <w:t xml:space="preserve">БДС EN 17152-1:2019 </w:t>
      </w:r>
    </w:p>
    <w:bookmarkEnd w:id="0"/>
    <w:p w:rsidR="004B4BB0" w:rsidRPr="004B4BB0" w:rsidRDefault="004B4BB0" w:rsidP="004B4BB0">
      <w:pPr>
        <w:spacing w:after="0" w:line="315" w:lineRule="atLeast"/>
        <w:rPr>
          <w:rFonts w:ascii="Arial" w:eastAsia="Times New Roman" w:hAnsi="Arial" w:cs="Arial"/>
          <w:b/>
          <w:bCs/>
          <w:color w:val="FF0000"/>
          <w:sz w:val="30"/>
          <w:szCs w:val="30"/>
        </w:rPr>
      </w:pPr>
      <w:r w:rsidRPr="004B4BB0">
        <w:rPr>
          <w:rFonts w:ascii="Arial" w:hAnsi="Arial" w:cs="Arial"/>
          <w:b/>
          <w:color w:val="FF0000"/>
          <w:sz w:val="31"/>
          <w:szCs w:val="31"/>
        </w:rPr>
        <w:t>БДС EN 17150:2019, БДС EN 17151:2019,</w:t>
      </w:r>
      <w:r w:rsidRPr="004B4BB0">
        <w:rPr>
          <w:rFonts w:ascii="Arial" w:hAnsi="Arial" w:cs="Arial"/>
          <w:color w:val="FF0000"/>
          <w:sz w:val="33"/>
          <w:szCs w:val="33"/>
        </w:rPr>
        <w:t xml:space="preserve"> </w:t>
      </w:r>
      <w:r w:rsidRPr="004B4BB0">
        <w:rPr>
          <w:rFonts w:ascii="Arial" w:eastAsia="Times New Roman" w:hAnsi="Arial" w:cs="Arial"/>
          <w:b/>
          <w:bCs/>
          <w:color w:val="FF0000"/>
          <w:sz w:val="30"/>
          <w:szCs w:val="30"/>
        </w:rPr>
        <w:t xml:space="preserve">БДС EN 17152-1:2019 </w:t>
      </w:r>
    </w:p>
    <w:p w:rsidR="004B4BB0" w:rsidRPr="004B4BB0" w:rsidRDefault="004B4BB0" w:rsidP="004B4BB0">
      <w:pPr>
        <w:spacing w:after="0" w:line="315" w:lineRule="atLeast"/>
        <w:rPr>
          <w:rFonts w:ascii="Arial" w:eastAsia="Times New Roman" w:hAnsi="Arial" w:cs="Arial"/>
          <w:b/>
          <w:bCs/>
          <w:color w:val="E53939"/>
          <w:sz w:val="30"/>
          <w:szCs w:val="30"/>
        </w:rPr>
      </w:pPr>
      <w:r w:rsidRPr="004B4BB0">
        <w:rPr>
          <w:rFonts w:ascii="Arial" w:eastAsia="Times New Roman" w:hAnsi="Arial" w:cs="Arial"/>
          <w:b/>
          <w:bCs/>
          <w:noProof/>
          <w:color w:val="008AD9"/>
          <w:sz w:val="30"/>
          <w:szCs w:val="30"/>
        </w:rPr>
        <w:drawing>
          <wp:inline distT="0" distB="0" distL="0" distR="0">
            <wp:extent cx="276225" cy="217170"/>
            <wp:effectExtent l="0" t="0" r="9525" b="0"/>
            <wp:docPr id="4" name="Picture 4" descr="https://www.bds-bg.org/bg/images/print_icon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ds-bg.org/bg/images/print_icon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802"/>
        <w:gridCol w:w="3750"/>
      </w:tblGrid>
      <w:tr w:rsidR="004B4BB0" w:rsidRPr="004B4BB0" w:rsidTr="004B4BB0">
        <w:trPr>
          <w:tblCellSpacing w:w="0" w:type="dxa"/>
        </w:trPr>
        <w:tc>
          <w:tcPr>
            <w:tcW w:w="1500" w:type="pct"/>
            <w:hideMark/>
          </w:tcPr>
          <w:p w:rsidR="004B4BB0" w:rsidRPr="004B4BB0" w:rsidRDefault="004B4BB0" w:rsidP="004B4BB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proofErr w:type="spellStart"/>
            <w:r w:rsidRPr="004B4BB0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</w:rPr>
              <w:t>Статус</w:t>
            </w:r>
            <w:proofErr w:type="spellEnd"/>
            <w:r w:rsidRPr="004B4BB0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</w:rPr>
              <w:t>:</w:t>
            </w:r>
            <w:r w:rsidRPr="004B4BB0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</w:t>
            </w:r>
            <w:proofErr w:type="spellStart"/>
            <w:r w:rsidRPr="004B4BB0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  <w:t>Действащ</w:t>
            </w:r>
            <w:proofErr w:type="spellEnd"/>
            <w:r w:rsidRPr="004B4BB0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  <w:br/>
            </w:r>
            <w:proofErr w:type="spellStart"/>
            <w:r w:rsidRPr="004B4BB0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</w:rPr>
              <w:t>Език</w:t>
            </w:r>
            <w:proofErr w:type="spellEnd"/>
            <w:r w:rsidRPr="004B4BB0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</w:rPr>
              <w:t>:</w:t>
            </w:r>
            <w:r w:rsidRPr="004B4BB0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</w:t>
            </w:r>
            <w:proofErr w:type="spellStart"/>
            <w:r w:rsidRPr="004B4BB0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  <w:t>Английски</w:t>
            </w:r>
            <w:proofErr w:type="spellEnd"/>
            <w:r w:rsidRPr="004B4BB0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  <w:br/>
            </w:r>
            <w:proofErr w:type="spellStart"/>
            <w:r w:rsidRPr="004B4BB0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</w:rPr>
              <w:t>Страници</w:t>
            </w:r>
            <w:proofErr w:type="spellEnd"/>
            <w:r w:rsidRPr="004B4BB0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</w:rPr>
              <w:t>:</w:t>
            </w:r>
            <w:r w:rsidRPr="004B4BB0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22</w:t>
            </w:r>
            <w:r w:rsidRPr="004B4BB0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  <w:br/>
            </w:r>
            <w:proofErr w:type="spellStart"/>
            <w:r w:rsidRPr="004B4BB0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</w:rPr>
              <w:t>Публикуван</w:t>
            </w:r>
            <w:proofErr w:type="spellEnd"/>
            <w:r w:rsidRPr="004B4BB0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</w:rPr>
              <w:t>:</w:t>
            </w:r>
            <w:r w:rsidRPr="004B4BB0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2019-12-16 </w:t>
            </w:r>
          </w:p>
        </w:tc>
        <w:tc>
          <w:tcPr>
            <w:tcW w:w="0" w:type="auto"/>
            <w:hideMark/>
          </w:tcPr>
          <w:p w:rsidR="004B4BB0" w:rsidRPr="004B4BB0" w:rsidRDefault="004B4BB0" w:rsidP="004B4BB0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proofErr w:type="spellStart"/>
            <w:r w:rsidRPr="004B4BB0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</w:rPr>
              <w:t>Свързани</w:t>
            </w:r>
            <w:proofErr w:type="spellEnd"/>
            <w:r w:rsidRPr="004B4BB0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</w:rPr>
              <w:t xml:space="preserve"> </w:t>
            </w:r>
            <w:proofErr w:type="spellStart"/>
            <w:r w:rsidRPr="004B4BB0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</w:rPr>
              <w:t>международни</w:t>
            </w:r>
            <w:proofErr w:type="spellEnd"/>
            <w:r w:rsidRPr="004B4BB0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</w:rPr>
              <w:t xml:space="preserve"> </w:t>
            </w:r>
            <w:proofErr w:type="spellStart"/>
            <w:r w:rsidRPr="004B4BB0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</w:rPr>
              <w:t>стандарти</w:t>
            </w:r>
            <w:proofErr w:type="spellEnd"/>
          </w:p>
          <w:p w:rsidR="004B4BB0" w:rsidRPr="004B4BB0" w:rsidRDefault="004B4BB0" w:rsidP="004B4BB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4B4BB0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  <w:t>IDT</w:t>
            </w:r>
            <w:r w:rsidRPr="004B4BB0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  <w:br/>
            </w:r>
            <w:r w:rsidRPr="004B4BB0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EN 17152-1:2019</w:t>
            </w:r>
            <w:r w:rsidRPr="004B4BB0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  <w:br/>
            </w:r>
            <w:r w:rsidRPr="004B4BB0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CEN/TC 155</w:t>
            </w:r>
            <w:r w:rsidRPr="004B4BB0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hideMark/>
          </w:tcPr>
          <w:p w:rsidR="004B4BB0" w:rsidRPr="004B4BB0" w:rsidRDefault="004B4BB0" w:rsidP="004B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</w:tc>
      </w:tr>
    </w:tbl>
    <w:p w:rsidR="004B4BB0" w:rsidRPr="004B4BB0" w:rsidRDefault="004B4BB0" w:rsidP="004B4BB0">
      <w:pPr>
        <w:spacing w:after="0" w:line="315" w:lineRule="atLeast"/>
        <w:rPr>
          <w:rFonts w:ascii="Arial" w:eastAsia="Times New Roman" w:hAnsi="Arial" w:cs="Arial"/>
          <w:color w:val="3E3E3E"/>
          <w:sz w:val="20"/>
          <w:szCs w:val="20"/>
        </w:rPr>
      </w:pPr>
      <w:r w:rsidRPr="004B4BB0">
        <w:rPr>
          <w:rFonts w:ascii="Arial" w:eastAsia="Times New Roman" w:hAnsi="Arial" w:cs="Arial"/>
          <w:noProof/>
          <w:color w:val="3E3E3E"/>
          <w:sz w:val="20"/>
          <w:szCs w:val="20"/>
        </w:rPr>
        <w:drawing>
          <wp:inline distT="0" distB="0" distL="0" distR="0">
            <wp:extent cx="199390" cy="240030"/>
            <wp:effectExtent l="0" t="0" r="0" b="7620"/>
            <wp:docPr id="1" name="Picture 1" descr="Стандартът е наличен на PDF файл и на харт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андартът е наличен на PDF файл и на хартия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Стандартът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е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наличен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на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PDF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файл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. </w:t>
      </w:r>
    </w:p>
    <w:p w:rsidR="004B4BB0" w:rsidRPr="004B4BB0" w:rsidRDefault="004B4BB0" w:rsidP="004B4BB0">
      <w:pPr>
        <w:spacing w:before="300" w:after="0" w:line="315" w:lineRule="atLeast"/>
        <w:outlineLvl w:val="1"/>
        <w:rPr>
          <w:rFonts w:ascii="Arial" w:eastAsia="Times New Roman" w:hAnsi="Arial" w:cs="Arial"/>
          <w:b/>
          <w:bCs/>
          <w:caps/>
          <w:color w:val="3E3E3E"/>
          <w:sz w:val="23"/>
          <w:szCs w:val="23"/>
        </w:rPr>
      </w:pPr>
      <w:r w:rsidRPr="004B4BB0">
        <w:rPr>
          <w:rFonts w:ascii="Arial" w:eastAsia="Times New Roman" w:hAnsi="Arial" w:cs="Arial"/>
          <w:b/>
          <w:bCs/>
          <w:caps/>
          <w:color w:val="3E3E3E"/>
          <w:sz w:val="23"/>
          <w:szCs w:val="23"/>
        </w:rPr>
        <w:t>Заглавие на български</w:t>
      </w:r>
    </w:p>
    <w:p w:rsidR="004B4BB0" w:rsidRPr="004B4BB0" w:rsidRDefault="004B4BB0" w:rsidP="004B4BB0">
      <w:pPr>
        <w:spacing w:after="0" w:line="315" w:lineRule="atLeast"/>
        <w:rPr>
          <w:rFonts w:ascii="Arial" w:eastAsia="Times New Roman" w:hAnsi="Arial" w:cs="Arial"/>
          <w:color w:val="3E3E3E"/>
          <w:sz w:val="20"/>
          <w:szCs w:val="20"/>
        </w:rPr>
      </w:pP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Пластмасови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тръбопроводни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системи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за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безнапорен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подземен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пренос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и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съхранение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на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непитейна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вода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.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Кутии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за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инфилтрация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,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утаяване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и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системи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за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съхранение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.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Част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1: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Изисквания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за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кутии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за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дъждовна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вода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,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изработени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от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PP и PVC-U</w:t>
      </w:r>
    </w:p>
    <w:p w:rsidR="004B4BB0" w:rsidRPr="004B4BB0" w:rsidRDefault="004B4BB0" w:rsidP="004B4BB0">
      <w:pPr>
        <w:spacing w:before="300" w:after="0" w:line="315" w:lineRule="atLeast"/>
        <w:outlineLvl w:val="1"/>
        <w:rPr>
          <w:rFonts w:ascii="Arial" w:eastAsia="Times New Roman" w:hAnsi="Arial" w:cs="Arial"/>
          <w:b/>
          <w:bCs/>
          <w:caps/>
          <w:color w:val="3E3E3E"/>
          <w:sz w:val="23"/>
          <w:szCs w:val="23"/>
        </w:rPr>
      </w:pPr>
      <w:r w:rsidRPr="004B4BB0">
        <w:rPr>
          <w:rFonts w:ascii="Arial" w:eastAsia="Times New Roman" w:hAnsi="Arial" w:cs="Arial"/>
          <w:b/>
          <w:bCs/>
          <w:caps/>
          <w:color w:val="3E3E3E"/>
          <w:sz w:val="23"/>
          <w:szCs w:val="23"/>
        </w:rPr>
        <w:t>Заглавие на английски</w:t>
      </w:r>
    </w:p>
    <w:p w:rsidR="004B4BB0" w:rsidRPr="004B4BB0" w:rsidRDefault="004B4BB0" w:rsidP="004B4BB0">
      <w:pPr>
        <w:spacing w:after="0" w:line="315" w:lineRule="atLeast"/>
        <w:rPr>
          <w:rFonts w:ascii="Arial" w:eastAsia="Times New Roman" w:hAnsi="Arial" w:cs="Arial"/>
          <w:color w:val="3E3E3E"/>
          <w:sz w:val="20"/>
          <w:szCs w:val="20"/>
        </w:rPr>
      </w:pPr>
      <w:r w:rsidRPr="004B4BB0">
        <w:rPr>
          <w:rFonts w:ascii="Arial" w:eastAsia="Times New Roman" w:hAnsi="Arial" w:cs="Arial"/>
          <w:color w:val="3E3E3E"/>
          <w:sz w:val="20"/>
          <w:szCs w:val="20"/>
        </w:rPr>
        <w:t>Plastics piping systems for non-pressure underground conveyance and storage of non-potable water - Boxes used for infiltration, attenuation and storage systems - Part 1: Specifications for storm water boxes made of PP and PVC-U</w:t>
      </w:r>
    </w:p>
    <w:p w:rsidR="004B4BB0" w:rsidRPr="004B4BB0" w:rsidRDefault="004B4BB0" w:rsidP="004B4BB0">
      <w:pPr>
        <w:spacing w:before="300" w:after="0" w:line="315" w:lineRule="atLeast"/>
        <w:outlineLvl w:val="1"/>
        <w:rPr>
          <w:rFonts w:ascii="Arial" w:eastAsia="Times New Roman" w:hAnsi="Arial" w:cs="Arial"/>
          <w:b/>
          <w:bCs/>
          <w:caps/>
          <w:color w:val="3E3E3E"/>
          <w:sz w:val="23"/>
          <w:szCs w:val="23"/>
        </w:rPr>
      </w:pPr>
      <w:r w:rsidRPr="004B4BB0">
        <w:rPr>
          <w:rFonts w:ascii="Arial" w:eastAsia="Times New Roman" w:hAnsi="Arial" w:cs="Arial"/>
          <w:b/>
          <w:bCs/>
          <w:caps/>
          <w:color w:val="3E3E3E"/>
          <w:sz w:val="23"/>
          <w:szCs w:val="23"/>
        </w:rPr>
        <w:t>Област на действие на български</w:t>
      </w:r>
    </w:p>
    <w:p w:rsidR="004B4BB0" w:rsidRPr="004B4BB0" w:rsidRDefault="004B4BB0" w:rsidP="004B4BB0">
      <w:pPr>
        <w:spacing w:after="0" w:line="315" w:lineRule="atLeast"/>
        <w:rPr>
          <w:rFonts w:ascii="Arial" w:eastAsia="Times New Roman" w:hAnsi="Arial" w:cs="Arial"/>
          <w:color w:val="3E3E3E"/>
          <w:sz w:val="20"/>
          <w:szCs w:val="20"/>
        </w:rPr>
      </w:pP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Няма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въведена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информация</w:t>
      </w:r>
      <w:proofErr w:type="spellEnd"/>
    </w:p>
    <w:p w:rsidR="004B4BB0" w:rsidRPr="004B4BB0" w:rsidRDefault="004B4BB0" w:rsidP="004B4BB0">
      <w:pPr>
        <w:spacing w:before="300" w:after="0" w:line="315" w:lineRule="atLeast"/>
        <w:outlineLvl w:val="1"/>
        <w:rPr>
          <w:rFonts w:ascii="Arial" w:eastAsia="Times New Roman" w:hAnsi="Arial" w:cs="Arial"/>
          <w:b/>
          <w:bCs/>
          <w:caps/>
          <w:color w:val="3E3E3E"/>
          <w:sz w:val="23"/>
          <w:szCs w:val="23"/>
        </w:rPr>
      </w:pPr>
      <w:r w:rsidRPr="004B4BB0">
        <w:rPr>
          <w:rFonts w:ascii="Arial" w:eastAsia="Times New Roman" w:hAnsi="Arial" w:cs="Arial"/>
          <w:b/>
          <w:bCs/>
          <w:caps/>
          <w:color w:val="3E3E3E"/>
          <w:sz w:val="23"/>
          <w:szCs w:val="23"/>
        </w:rPr>
        <w:t>Област на действие на английски</w:t>
      </w:r>
    </w:p>
    <w:p w:rsidR="004B4BB0" w:rsidRPr="004B4BB0" w:rsidRDefault="004B4BB0" w:rsidP="004B4BB0">
      <w:pPr>
        <w:spacing w:after="0" w:line="315" w:lineRule="atLeast"/>
        <w:rPr>
          <w:rFonts w:ascii="Arial" w:eastAsia="Times New Roman" w:hAnsi="Arial" w:cs="Arial"/>
          <w:color w:val="3E3E3E"/>
          <w:sz w:val="20"/>
          <w:szCs w:val="20"/>
        </w:rPr>
      </w:pPr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This document gives the definitions and specifies the minimum requirements for injection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moulded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, extruded and thermoformed thermoplastics cuboid shaped boxes, including integral components, used in underground systems for infiltration, attenuation and storage of non-potable water (e.g. storm water) and manufactured from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unplasticized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gram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poly(</w:t>
      </w:r>
      <w:proofErr w:type="gram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vinyl chloride) (PVC-U) or polypropylene (PP). NOTE 1 Specifications and design rules for systems (water reservoir) are described in part 2 of EN 17152. Product properties are determined by a combination of material specifications, design and manufacturing process. These boxes are intended for buried underground use, e.g. in landscape, pedestrian or vehicular traffic areas. A box can either be factory assembled or site assembled from different components. These boxes are intended to be used as elements in a modular system where the manufacturer has clearly stated in the documentation how the components are assembled to create a complete infiltration, attenuation or storage construction. NOTE 2 Non load bearing component(s) can be manufactured by various methods e.g. extrusion, injection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moulding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, rotational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moulding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, thermoforming and low-pressure injection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moulding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>.</w:t>
      </w:r>
    </w:p>
    <w:p w:rsidR="004B4BB0" w:rsidRPr="004B4BB0" w:rsidRDefault="004B4BB0" w:rsidP="004B4BB0">
      <w:pPr>
        <w:spacing w:before="300" w:after="0" w:line="315" w:lineRule="atLeast"/>
        <w:outlineLvl w:val="1"/>
        <w:rPr>
          <w:rFonts w:ascii="Arial" w:eastAsia="Times New Roman" w:hAnsi="Arial" w:cs="Arial"/>
          <w:b/>
          <w:bCs/>
          <w:caps/>
          <w:color w:val="3E3E3E"/>
          <w:sz w:val="23"/>
          <w:szCs w:val="23"/>
        </w:rPr>
      </w:pPr>
      <w:r w:rsidRPr="004B4BB0">
        <w:rPr>
          <w:rFonts w:ascii="Arial" w:eastAsia="Times New Roman" w:hAnsi="Arial" w:cs="Arial"/>
          <w:b/>
          <w:bCs/>
          <w:caps/>
          <w:color w:val="3E3E3E"/>
          <w:sz w:val="23"/>
          <w:szCs w:val="23"/>
        </w:rPr>
        <w:lastRenderedPageBreak/>
        <w:t>Технически комитет</w:t>
      </w:r>
    </w:p>
    <w:p w:rsidR="004B4BB0" w:rsidRPr="004B4BB0" w:rsidRDefault="004B4BB0" w:rsidP="004B4BB0">
      <w:pPr>
        <w:spacing w:after="0" w:line="315" w:lineRule="atLeast"/>
        <w:rPr>
          <w:rFonts w:ascii="Arial" w:eastAsia="Times New Roman" w:hAnsi="Arial" w:cs="Arial"/>
          <w:color w:val="3E3E3E"/>
          <w:sz w:val="20"/>
          <w:szCs w:val="20"/>
        </w:rPr>
      </w:pPr>
      <w:hyperlink r:id="rId7" w:history="1">
        <w:r w:rsidRPr="004B4BB0">
          <w:rPr>
            <w:rFonts w:ascii="Arial" w:eastAsia="Times New Roman" w:hAnsi="Arial" w:cs="Arial"/>
            <w:color w:val="008AD9"/>
            <w:sz w:val="20"/>
            <w:szCs w:val="20"/>
          </w:rPr>
          <w:t xml:space="preserve">ТК-81 - </w:t>
        </w:r>
        <w:proofErr w:type="spellStart"/>
        <w:r w:rsidRPr="004B4BB0">
          <w:rPr>
            <w:rFonts w:ascii="Arial" w:eastAsia="Times New Roman" w:hAnsi="Arial" w:cs="Arial"/>
            <w:color w:val="008AD9"/>
            <w:sz w:val="20"/>
            <w:szCs w:val="20"/>
          </w:rPr>
          <w:t>Пластмаси</w:t>
        </w:r>
        <w:proofErr w:type="spellEnd"/>
      </w:hyperlink>
    </w:p>
    <w:p w:rsidR="004B4BB0" w:rsidRPr="004B4BB0" w:rsidRDefault="004B4BB0" w:rsidP="004B4BB0">
      <w:pPr>
        <w:spacing w:before="300" w:after="0" w:line="315" w:lineRule="atLeast"/>
        <w:outlineLvl w:val="1"/>
        <w:rPr>
          <w:rFonts w:ascii="Arial" w:eastAsia="Times New Roman" w:hAnsi="Arial" w:cs="Arial"/>
          <w:b/>
          <w:bCs/>
          <w:caps/>
          <w:color w:val="3E3E3E"/>
          <w:sz w:val="23"/>
          <w:szCs w:val="23"/>
        </w:rPr>
      </w:pPr>
      <w:r w:rsidRPr="004B4BB0">
        <w:rPr>
          <w:rFonts w:ascii="Arial" w:eastAsia="Times New Roman" w:hAnsi="Arial" w:cs="Arial"/>
          <w:b/>
          <w:bCs/>
          <w:caps/>
          <w:color w:val="3E3E3E"/>
          <w:sz w:val="23"/>
          <w:szCs w:val="23"/>
        </w:rPr>
        <w:t>ICS</w:t>
      </w:r>
    </w:p>
    <w:p w:rsidR="004B4BB0" w:rsidRPr="004B4BB0" w:rsidRDefault="004B4BB0" w:rsidP="004B4BB0">
      <w:pPr>
        <w:spacing w:after="0" w:line="315" w:lineRule="atLeast"/>
        <w:rPr>
          <w:rFonts w:ascii="Arial" w:eastAsia="Times New Roman" w:hAnsi="Arial" w:cs="Arial"/>
          <w:color w:val="3E3E3E"/>
          <w:sz w:val="20"/>
          <w:szCs w:val="20"/>
        </w:rPr>
      </w:pPr>
      <w:hyperlink r:id="rId8" w:history="1">
        <w:r w:rsidRPr="004B4BB0">
          <w:rPr>
            <w:rFonts w:ascii="Arial" w:eastAsia="Times New Roman" w:hAnsi="Arial" w:cs="Arial"/>
            <w:color w:val="008AD9"/>
            <w:sz w:val="20"/>
            <w:szCs w:val="20"/>
          </w:rPr>
          <w:t xml:space="preserve">23.040.01 - </w:t>
        </w:r>
        <w:proofErr w:type="spellStart"/>
        <w:r w:rsidRPr="004B4BB0">
          <w:rPr>
            <w:rFonts w:ascii="Arial" w:eastAsia="Times New Roman" w:hAnsi="Arial" w:cs="Arial"/>
            <w:color w:val="008AD9"/>
            <w:sz w:val="20"/>
            <w:szCs w:val="20"/>
          </w:rPr>
          <w:t>Елементи</w:t>
        </w:r>
        <w:proofErr w:type="spellEnd"/>
        <w:r w:rsidRPr="004B4BB0">
          <w:rPr>
            <w:rFonts w:ascii="Arial" w:eastAsia="Times New Roman" w:hAnsi="Arial" w:cs="Arial"/>
            <w:color w:val="008AD9"/>
            <w:sz w:val="20"/>
            <w:szCs w:val="20"/>
          </w:rPr>
          <w:t xml:space="preserve"> </w:t>
        </w:r>
        <w:proofErr w:type="spellStart"/>
        <w:r w:rsidRPr="004B4BB0">
          <w:rPr>
            <w:rFonts w:ascii="Arial" w:eastAsia="Times New Roman" w:hAnsi="Arial" w:cs="Arial"/>
            <w:color w:val="008AD9"/>
            <w:sz w:val="20"/>
            <w:szCs w:val="20"/>
          </w:rPr>
          <w:t>на</w:t>
        </w:r>
        <w:proofErr w:type="spellEnd"/>
        <w:r w:rsidRPr="004B4BB0">
          <w:rPr>
            <w:rFonts w:ascii="Arial" w:eastAsia="Times New Roman" w:hAnsi="Arial" w:cs="Arial"/>
            <w:color w:val="008AD9"/>
            <w:sz w:val="20"/>
            <w:szCs w:val="20"/>
          </w:rPr>
          <w:t xml:space="preserve"> </w:t>
        </w:r>
        <w:proofErr w:type="spellStart"/>
        <w:r w:rsidRPr="004B4BB0">
          <w:rPr>
            <w:rFonts w:ascii="Arial" w:eastAsia="Times New Roman" w:hAnsi="Arial" w:cs="Arial"/>
            <w:color w:val="008AD9"/>
            <w:sz w:val="20"/>
            <w:szCs w:val="20"/>
          </w:rPr>
          <w:t>тръбопроводи</w:t>
        </w:r>
        <w:proofErr w:type="spellEnd"/>
        <w:r w:rsidRPr="004B4BB0">
          <w:rPr>
            <w:rFonts w:ascii="Arial" w:eastAsia="Times New Roman" w:hAnsi="Arial" w:cs="Arial"/>
            <w:color w:val="008AD9"/>
            <w:sz w:val="20"/>
            <w:szCs w:val="20"/>
          </w:rPr>
          <w:t xml:space="preserve"> и </w:t>
        </w:r>
        <w:proofErr w:type="spellStart"/>
        <w:r w:rsidRPr="004B4BB0">
          <w:rPr>
            <w:rFonts w:ascii="Arial" w:eastAsia="Times New Roman" w:hAnsi="Arial" w:cs="Arial"/>
            <w:color w:val="008AD9"/>
            <w:sz w:val="20"/>
            <w:szCs w:val="20"/>
          </w:rPr>
          <w:t>тръбопроводи</w:t>
        </w:r>
        <w:proofErr w:type="spellEnd"/>
        <w:r w:rsidRPr="004B4BB0">
          <w:rPr>
            <w:rFonts w:ascii="Arial" w:eastAsia="Times New Roman" w:hAnsi="Arial" w:cs="Arial"/>
            <w:color w:val="008AD9"/>
            <w:sz w:val="20"/>
            <w:szCs w:val="20"/>
          </w:rPr>
          <w:t xml:space="preserve">. </w:t>
        </w:r>
        <w:proofErr w:type="spellStart"/>
        <w:r w:rsidRPr="004B4BB0">
          <w:rPr>
            <w:rFonts w:ascii="Arial" w:eastAsia="Times New Roman" w:hAnsi="Arial" w:cs="Arial"/>
            <w:color w:val="008AD9"/>
            <w:sz w:val="20"/>
            <w:szCs w:val="20"/>
          </w:rPr>
          <w:t>Общи</w:t>
        </w:r>
        <w:proofErr w:type="spellEnd"/>
        <w:r w:rsidRPr="004B4BB0">
          <w:rPr>
            <w:rFonts w:ascii="Arial" w:eastAsia="Times New Roman" w:hAnsi="Arial" w:cs="Arial"/>
            <w:color w:val="008AD9"/>
            <w:sz w:val="20"/>
            <w:szCs w:val="20"/>
          </w:rPr>
          <w:t xml:space="preserve"> </w:t>
        </w:r>
        <w:proofErr w:type="spellStart"/>
        <w:r w:rsidRPr="004B4BB0">
          <w:rPr>
            <w:rFonts w:ascii="Arial" w:eastAsia="Times New Roman" w:hAnsi="Arial" w:cs="Arial"/>
            <w:color w:val="008AD9"/>
            <w:sz w:val="20"/>
            <w:szCs w:val="20"/>
          </w:rPr>
          <w:t>положения</w:t>
        </w:r>
        <w:proofErr w:type="spellEnd"/>
      </w:hyperlink>
    </w:p>
    <w:p w:rsidR="004B4BB0" w:rsidRPr="004B4BB0" w:rsidRDefault="004B4BB0" w:rsidP="004B4BB0">
      <w:pPr>
        <w:spacing w:before="300" w:after="0" w:line="315" w:lineRule="atLeast"/>
        <w:outlineLvl w:val="1"/>
        <w:rPr>
          <w:rFonts w:ascii="Arial" w:eastAsia="Times New Roman" w:hAnsi="Arial" w:cs="Arial"/>
          <w:b/>
          <w:bCs/>
          <w:caps/>
          <w:color w:val="3E3E3E"/>
          <w:sz w:val="23"/>
          <w:szCs w:val="23"/>
        </w:rPr>
      </w:pPr>
      <w:r w:rsidRPr="004B4BB0">
        <w:rPr>
          <w:rFonts w:ascii="Arial" w:eastAsia="Times New Roman" w:hAnsi="Arial" w:cs="Arial"/>
          <w:b/>
          <w:bCs/>
          <w:caps/>
          <w:color w:val="3E3E3E"/>
          <w:sz w:val="23"/>
          <w:szCs w:val="23"/>
        </w:rPr>
        <w:t>Директиви</w:t>
      </w:r>
    </w:p>
    <w:p w:rsidR="004B4BB0" w:rsidRPr="004B4BB0" w:rsidRDefault="004B4BB0" w:rsidP="004B4BB0">
      <w:pPr>
        <w:spacing w:after="0" w:line="315" w:lineRule="atLeast"/>
        <w:rPr>
          <w:rFonts w:ascii="Arial" w:eastAsia="Times New Roman" w:hAnsi="Arial" w:cs="Arial"/>
          <w:color w:val="3E3E3E"/>
          <w:sz w:val="20"/>
          <w:szCs w:val="20"/>
        </w:rPr>
      </w:pP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Няма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връзка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с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директиви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</w:p>
    <w:p w:rsidR="004B4BB0" w:rsidRPr="004B4BB0" w:rsidRDefault="004B4BB0" w:rsidP="004B4BB0">
      <w:pPr>
        <w:spacing w:before="300" w:after="0" w:line="315" w:lineRule="atLeast"/>
        <w:outlineLvl w:val="1"/>
        <w:rPr>
          <w:rFonts w:ascii="Arial" w:eastAsia="Times New Roman" w:hAnsi="Arial" w:cs="Arial"/>
          <w:b/>
          <w:bCs/>
          <w:caps/>
          <w:color w:val="3E3E3E"/>
          <w:sz w:val="23"/>
          <w:szCs w:val="23"/>
        </w:rPr>
      </w:pPr>
      <w:r w:rsidRPr="004B4BB0">
        <w:rPr>
          <w:rFonts w:ascii="Arial" w:eastAsia="Times New Roman" w:hAnsi="Arial" w:cs="Arial"/>
          <w:b/>
          <w:bCs/>
          <w:caps/>
          <w:color w:val="3E3E3E"/>
          <w:sz w:val="23"/>
          <w:szCs w:val="23"/>
        </w:rPr>
        <w:t>Връзка с национални стандарти</w:t>
      </w:r>
    </w:p>
    <w:p w:rsidR="004B4BB0" w:rsidRPr="004B4BB0" w:rsidRDefault="004B4BB0" w:rsidP="004B4BB0">
      <w:pPr>
        <w:spacing w:after="0" w:line="315" w:lineRule="atLeast"/>
        <w:rPr>
          <w:rFonts w:ascii="Arial" w:eastAsia="Times New Roman" w:hAnsi="Arial" w:cs="Arial"/>
          <w:color w:val="3E3E3E"/>
          <w:sz w:val="20"/>
          <w:szCs w:val="20"/>
        </w:rPr>
      </w:pP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Няма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връзка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с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национални</w:t>
      </w:r>
      <w:proofErr w:type="spellEnd"/>
      <w:r w:rsidRPr="004B4BB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proofErr w:type="spellStart"/>
      <w:r w:rsidRPr="004B4BB0">
        <w:rPr>
          <w:rFonts w:ascii="Arial" w:eastAsia="Times New Roman" w:hAnsi="Arial" w:cs="Arial"/>
          <w:color w:val="3E3E3E"/>
          <w:sz w:val="20"/>
          <w:szCs w:val="20"/>
        </w:rPr>
        <w:t>стандарти</w:t>
      </w:r>
      <w:proofErr w:type="spellEnd"/>
    </w:p>
    <w:p w:rsidR="00D134B9" w:rsidRDefault="00D134B9"/>
    <w:sectPr w:rsidR="00D13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B0"/>
    <w:rsid w:val="0000093A"/>
    <w:rsid w:val="00303ABE"/>
    <w:rsid w:val="004B4BB0"/>
    <w:rsid w:val="00D1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17CD0"/>
  <w15:chartTrackingRefBased/>
  <w15:docId w15:val="{60AC263B-3983-4773-8938-56612C5A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B4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B4B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B4BB0"/>
    <w:rPr>
      <w:color w:val="0000FF"/>
      <w:u w:val="single"/>
    </w:rPr>
  </w:style>
  <w:style w:type="character" w:customStyle="1" w:styleId="buttonpathlabel">
    <w:name w:val="button_path_label"/>
    <w:basedOn w:val="DefaultParagraphFont"/>
    <w:rsid w:val="004B4BB0"/>
  </w:style>
  <w:style w:type="character" w:customStyle="1" w:styleId="siprice">
    <w:name w:val="si_price"/>
    <w:basedOn w:val="DefaultParagraphFont"/>
    <w:rsid w:val="004B4BB0"/>
  </w:style>
  <w:style w:type="paragraph" w:styleId="BalloonText">
    <w:name w:val="Balloon Text"/>
    <w:basedOn w:val="Normal"/>
    <w:link w:val="BalloonTextChar"/>
    <w:uiPriority w:val="99"/>
    <w:semiHidden/>
    <w:unhideWhenUsed/>
    <w:rsid w:val="004B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5E5"/>
            <w:right w:val="none" w:sz="0" w:space="0" w:color="auto"/>
          </w:divBdr>
          <w:divsChild>
            <w:div w:id="19320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21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48578">
          <w:marLeft w:val="0"/>
          <w:marRight w:val="3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s-bg.org/bg/standard/?ics_id=43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ds-bg.org/bg/tc/?national_committee_id=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www.bds-bg.org/bg/standard/?natstandard_document_id=86516&amp;is_print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Stones</dc:creator>
  <cp:keywords/>
  <dc:description/>
  <cp:lastModifiedBy>Krasimira Stones</cp:lastModifiedBy>
  <cp:revision>1</cp:revision>
  <dcterms:created xsi:type="dcterms:W3CDTF">2020-01-28T09:14:00Z</dcterms:created>
  <dcterms:modified xsi:type="dcterms:W3CDTF">2020-01-28T09:22:00Z</dcterms:modified>
</cp:coreProperties>
</file>